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68 SN-3975 (Sachsen) — [Rücktritt, Beendigung der Amtszeit, Geschäftsführende Regierung]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Staatsregierung und jedes ihrer Mitglieder können jederzeit ihren Rücktritt erklären.</w:t>
      </w:r>
    </w:p>
    <w:p>
      <w:r>
        <w:t xml:space="preserve">(2) Das Amt des Ministerpräsidenten und der übrigen Mitglieder der Staatsregierung endet mit dem Zusammentritt eines neuen Landtages, das Amt eines Staatsministers und eines Staatssekretärs auch mit jeder anderen Erledigung des Amtes des Ministerpräsidenten.</w:t>
      </w:r>
    </w:p>
    <w:p>
      <w:r>
        <w:t xml:space="preserve">(3) Im Fall des Rücktrittes oder einer sonstigen Beendigung des Amtes haben die Mitglieder der Staatsregierung bis zur Amtsübernahme der Nachfolger die Amtsgeschäfte weiterzuführen.</w:t>
      </w:r>
    </w:p>
    <w:p>
      <w:r>
        <w:rPr>
          <w:color w:val="555555"/>
          <w:sz w:val="17"/>
        </w:rPr>
        <w:t xml:space="preserve">Zitiervorschlag: Artikel 68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https://recht.nulegal.eu/gesetze/SN-3975/68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