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67 SN-3975 (Sachsen) — [Begnadigungsrecht]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Ministerpräsident übt das Begnadigungsrecht aus. Er kann dieses Recht, soweit es sich nicht um schwere Fälle handelt, mit Zustimmung der Staatsregierung auf andere Staatsbehörden übertragen.</w:t>
      </w:r>
    </w:p>
    <w:p>
      <w:r>
        <w:t xml:space="preserve">(2) Ein allgemeiner Straferlaß und eine allgemeine Niederschlagung anhängiger Strafverfahren können nur durch Gesetz ausgesprochen werden.</w:t>
      </w:r>
    </w:p>
    <w:p>
      <w:r>
        <w:rPr>
          <w:color w:val="555555"/>
          <w:sz w:val="17"/>
        </w:rPr>
        <w:t xml:space="preserve">Zitiervorschlag: Artikel 67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https://recht.nulegal.eu/gesetze/SN-3975/67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