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60 SN-3975 (Sachsen) — [Bildung der Staatsregierung]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wird vom Landtag mit der Mehrheit seiner Mitglieder ohne Aussprache in geheimer Abstimmung gewählt.</w:t>
      </w:r>
    </w:p>
    <w:p>
      <w:r>
        <w:t xml:space="preserve">(2) Kommt eine Wahl nach Absatz 1 nicht zustande, so ist gewählt, wer in einem weiteren Wahlgang die Mehrheit der abgegebenen Stimmen erhält.</w:t>
      </w:r>
    </w:p>
    <w:p>
      <w:r>
        <w:t xml:space="preserve">(3) Wird der Ministerpräsident nicht innerhalb von vier Monaten nach dem Zusammentritt des neugewählten Landtages oder nach der sonstigen Erledigung des Amtes des Ministerpräsidenten gewählt, so ist der Landtag aufgelöst.</w:t>
      </w:r>
    </w:p>
    <w:p>
      <w:r>
        <w:t xml:space="preserve">(4) Der Ministerpräsident beruft und entläßt die Staatsminister und Staatssekretäre. Er bestellt seinen Stellvertreter.</w:t>
      </w:r>
    </w:p>
    <w:p>
      <w:r>
        <w:rPr>
          <w:color w:val="555555"/>
          <w:sz w:val="17"/>
        </w:rPr>
        <w:t xml:space="preserve">Zitiervorschlag: Artikel 60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