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SN-3975 (Sachsen) — [Sorben]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im Land lebenden Bürger sorbischer Volkszugehörigkeit sind gleichberechtigter Teil des Staatsvolkes. Das Land gewährleistet und schützt das Recht auf Bewahrung ihrer Identität sowie auf Pflege und Entwicklung ihrer angestammten Sprache, Kultur und Überlieferung, insbesondere durch Schulen, vorschulische und kulturelle Einrichtungen.</w:t>
      </w:r>
    </w:p>
    <w:p>
      <w:r>
        <w:t xml:space="preserve">(2) In der Landes- und Kommunalplanung sind die Lebensbedürfnisse des sorbischen Volkes zu berücksichtigen. Der deutsch-sorbische Charakter des Siedlungsgebietes der sorbischen Volksgruppe ist zu erhalten.</w:t>
      </w:r>
    </w:p>
    <w:p>
      <w:r>
        <w:t xml:space="preserve">(3) Die landesübergreifende Zusammenarbeit der Sorben, insbesondere in der Ober- und Niederlausitz, liegt im Interesse des Landes.</w:t>
      </w:r>
    </w:p>
    <w:p>
      <w:r>
        <w:rPr>
          <w:color w:val="555555"/>
          <w:sz w:val="17"/>
        </w:rPr>
        <w:t xml:space="preserve">Zitiervorschlag: Artikel 6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