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53 SN-3975 (Sachsen) — [Petitionsausschuss]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Landtag bestellt einen Petitionsausschuß zur Behandlung der an ihn gerichteten Bitten und Beschwerden.</w:t>
      </w:r>
    </w:p>
    <w:p>
      <w:r>
        <w:t xml:space="preserve">(2) Nach Maßgabe der Geschäftsordnung des Landtages können Bitten und Beschwerden auch einem anderen Ausschuss überwiesen werden.</w:t>
      </w:r>
    </w:p>
    <w:p>
      <w:r>
        <w:t xml:space="preserve">(3) Die Befugnisse des Petitionsausschusses, insbesondere das Zutrittsrecht zu den öffentlichen Einrichtungen und das Recht auf Aktenvorlage, werden durch Gesetz geregelt.</w:t>
      </w:r>
    </w:p>
    <w:p>
      <w:r>
        <w:rPr>
          <w:color w:val="555555"/>
          <w:sz w:val="17"/>
        </w:rPr>
        <w:t xml:space="preserve">Zitiervorschlag: Artikel 53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https://recht.nulegal.eu/gesetze/SN-3975/53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