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52 SN-3975 (Sachsen) — [Ausschüsse]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bildet ständige Ausschüsse. Die Geschäftsordnung bestimmt Aufgaben, Zusammensetzung und Arbeitsweise.</w:t>
      </w:r>
    </w:p>
    <w:p>
      <w:r>
        <w:t xml:space="preserve">(2) Der Landtag kann auf Antrag von zwölf Abgeordneten oder einer Fraktion die Bildung zeitweiliger Ausschüsse beschließen. Gegenstand und Ziel des jeweiligen Ausschusses sind im Beschluss festzulegen.</w:t>
      </w:r>
    </w:p>
    <w:p>
      <w:r>
        <w:t xml:space="preserve">(3) Die Ausschüsse können öffentlich tagen.</w:t>
      </w:r>
    </w:p>
    <w:p>
      <w:r>
        <w:rPr>
          <w:color w:val="555555"/>
          <w:sz w:val="17"/>
        </w:rPr>
        <w:t xml:space="preserve">Zitiervorschlag: Artikel 52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