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50 SN-3975 (Sachsen) — [Informationspflicht der Staatsregierung]</w:t>
      </w:r>
    </w:p>
    <w:p>
      <w:r>
        <w:rPr>
          <w:color w:val="555555"/>
          <w:sz w:val="18"/>
        </w:rPr>
        <w:t xml:space="preserve">Verfassung des Freistaates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Staatsregierung ist verpflichtet, über ihre Tätigkeit den Landtag insoweit zu informieren, als dies zur Erfüllung seiner Aufgaben erforderlich ist.</w:t>
      </w:r>
    </w:p>
    <w:p>
      <w:r>
        <w:rPr>
          <w:color w:val="555555"/>
          <w:sz w:val="17"/>
        </w:rPr>
        <w:t xml:space="preserve">Zitiervorschlag: Artikel 50 SN-3975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https://recht.nulegal.eu/gesetze/SN-3975/50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