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5 SN-3975 (Sachsen) — [Staatsvolk, Minderheiten]</w:t>
      </w:r>
    </w:p>
    <w:p>
      <w:r>
        <w:rPr>
          <w:color w:val="555555"/>
          <w:sz w:val="18"/>
        </w:rPr>
        <w:t xml:space="preserve">Verfassung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Dem Volk des Freistaates Sachsen gehören Bürger deutscher, sorbischer und anderer Volkszugehörigkeit an. Das Land erkennt das Recht auf die Heimat an.</w:t>
      </w:r>
    </w:p>
    <w:p>
      <w:r>
        <w:t xml:space="preserve">(2) Das Land gewährleistet und schützt das Recht nationaler und ethnischer Minderheiten deutscher Staatsangehörigkeit auf Bewahrung ihrer Identität sowie auf Pflege ihrer Sprache, Religion, Kultur und Überlieferung.</w:t>
      </w:r>
    </w:p>
    <w:p>
      <w:r>
        <w:t xml:space="preserve">(3) Das Land achtet die Interessen ausländischer Minderheiten, deren Angehörige sich rechtmäßig im Land aufhalten.</w:t>
      </w:r>
    </w:p>
    <w:p>
      <w:r>
        <w:rPr>
          <w:color w:val="555555"/>
          <w:sz w:val="17"/>
        </w:rPr>
        <w:t xml:space="preserve">Zitiervorschlag: Artikel 5 SN-3975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https://recht.nulegal.eu/gesetze/SN-3975/5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