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47 SN-3975 (Sachsen) — [Präsident]</w:t>
      </w:r>
    </w:p>
    <w:p>
      <w:r>
        <w:rPr>
          <w:color w:val="555555"/>
          <w:sz w:val="18"/>
        </w:rPr>
        <w:t xml:space="preserve">Verfassung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Landtag wählt seinen Präsidenten und dessen Stellvertreter, die zusammen mit weiteren Mitgliedern das Präsidium bilden, und die Schriftführer.</w:t>
      </w:r>
    </w:p>
    <w:p>
      <w:r>
        <w:t xml:space="preserve">(2) Der Präsident leitet die Verhandlungen nach Maßgabe der Geschäftsordnung.</w:t>
      </w:r>
    </w:p>
    <w:p>
      <w:r>
        <w:t xml:space="preserve">(3) Der Präsident übt das Hausrecht und die Polizeigewalt im Gebäude des Landtages aus. Ohne seine Zustimmung darf in den Räumen des Landtages keine Durchsuchung oder Beschlagnahme stattfinden.</w:t>
      </w:r>
    </w:p>
    <w:p>
      <w:r>
        <w:t xml:space="preserve">(4) Der Präsident verwaltet die wirtschaftlichen Angelegenheiten des Landtages nach Maßgabe des Haushaltsgesetzes. Er vertritt den Freistaat im Rahmen der Verwaltung des Landtages. Ihm steht die Einstellung und Entlassung der Angestellten und Arbeiter sowie im Benehmen mit dem Präsidium die Ernennung und Entlassung der Beamten des Landtages zu. Der Präsident ist oberste Dienstbehörde für die Beamten, Angestellten und Arbeiter des Landtages.</w:t>
      </w:r>
    </w:p>
    <w:p>
      <w:r>
        <w:rPr>
          <w:color w:val="555555"/>
          <w:sz w:val="17"/>
        </w:rPr>
        <w:t xml:space="preserve">Zitiervorschlag: Artikel 47 SN-3975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https://recht.nulegal.eu/gesetze/SN-3975/47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