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46 SN-3975 (Sachsen) — [Geschäftsordnung, Fraktionen]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Landtag gibt sich eine Geschäftsordnung.</w:t>
      </w:r>
    </w:p>
    <w:p>
      <w:r>
        <w:t xml:space="preserve">(2) In der Geschäftsordnung sind Regelungen für den Zusammenschluß der Abgeordneten zu Fraktionen zu treffen.</w:t>
      </w:r>
    </w:p>
    <w:p>
      <w:r>
        <w:t xml:space="preserve">(3) Die Rechte fraktionsloser Abgeordneter dürfen nicht beschränkt werden.</w:t>
      </w:r>
    </w:p>
    <w:p>
      <w:r>
        <w:t xml:space="preserve">(4) Die Änderung der Geschäftsordnung bedarf der Mehrheit von zwei Dritteln der anwesenden Abgeordneten.</w:t>
      </w:r>
    </w:p>
    <w:p>
      <w:r>
        <w:rPr>
          <w:color w:val="555555"/>
          <w:sz w:val="17"/>
        </w:rPr>
        <w:t xml:space="preserve">Zitiervorschlag: Artikel 46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https://recht.nulegal.eu/gesetze/SN-3975/46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