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43 SN-3975 (Sachsen) — [Erwerb und Verlust des Mandats]</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zum Abgeordneten gewählt ist, erwirbt sein Mandat mit der Annahme der Wahl, die rechtliche Stellung eines Mitgliedes des Landtages jedoch nicht vor Zusammentritt des neuen Landtages. Die Annahme der Wahl kann abgelehnt werden.</w:t>
      </w:r>
    </w:p>
    <w:p>
      <w:r>
        <w:t xml:space="preserve">(2) Abgeordnete können jederzeit auf ihr Mandat verzichten. Der Verzicht ist dem Präsidenten des Landtages schriftlich zu erklären. Die Erklärung ist unwiderruflich.</w:t>
      </w:r>
    </w:p>
    <w:p>
      <w:r>
        <w:t xml:space="preserve">(3) Verlieren Abgeordnete die Wählbarkeit, so erlischt ihr Mandat.</w:t>
      </w:r>
    </w:p>
    <w:p>
      <w:r>
        <w:rPr>
          <w:color w:val="555555"/>
          <w:sz w:val="17"/>
        </w:rPr>
        <w:t xml:space="preserve">Zitiervorschlag: Artikel 43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