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42 SN-3975 (Sachsen) — [Kandidatur, Ansprüche der Abgeordneten]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sich um einen Sitz im Landtag bewirbt, hat Anspruch auf den zur Vorbereitung seiner Wahl erforderlichen Urlaub.</w:t>
      </w:r>
    </w:p>
    <w:p>
      <w:r>
        <w:t xml:space="preserve">(2) Niemand darf gehindert werden, das Amt eines Abgeordneten zu übernehmen und auszuüben. Eine Kündigung oder Entlassung aus einem Dienst- oder Arbeitsverhältnis aus diesem Grund ist unzulässig.</w:t>
      </w:r>
    </w:p>
    <w:p>
      <w:r>
        <w:t xml:space="preserve">(3) Die Abgeordneten haben Anspruch auf eine angemessene, ihre Unabhängigkeit sichernde Entschädigung. Sie haben innerhalb des Landes das Recht der kostenfreien Benutzung aller staatlichen Verkehrsmittel.</w:t>
      </w:r>
    </w:p>
    <w:p>
      <w:r>
        <w:t xml:space="preserve">(4) Das Nähere bestimmt ein Gesetz.</w:t>
      </w:r>
    </w:p>
    <w:p>
      <w:r>
        <w:rPr>
          <w:color w:val="555555"/>
          <w:sz w:val="17"/>
        </w:rPr>
        <w:t xml:space="preserve">Zitiervorschlag: Artikel 42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