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SN-3975 (Sachsen) — [Wahl- und Abstimmungsgrundsätze]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nach der Verfassung durch das Volk vorzunehmenden Wahlen und Abstimmungen sind allgemein, unmittelbar, frei, gleich und geheim.</w:t>
      </w:r>
    </w:p>
    <w:p>
      <w:r>
        <w:t xml:space="preserve">(2) Wahl- und stimmberechtigt sind alle Bürger, die im Land wohnen oder sich dort gewöhnlich aufhalten und am Tag der Wahl oder Abstimmung das 18. Lebensjahr vollendet haben.</w:t>
      </w:r>
    </w:p>
    <w:p>
      <w:r>
        <w:t xml:space="preserve">(3) Das Nähere bestimmen die Gesetze. Dabei kann das Wahl- und Stimmrecht von einer bestimmten Dauer des Aufenthaltes im Land und, wenn die Wahl- und Stimmberechtigten mehrere Wohnungen innehaben, auch davon abhängig gemacht werden, dass ihre Hauptwohnung im Land liegt.</w:t>
      </w:r>
    </w:p>
    <w:p>
      <w:r>
        <w:rPr>
          <w:color w:val="555555"/>
          <w:sz w:val="17"/>
        </w:rPr>
        <w:t xml:space="preserve">Zitiervorschlag: Artikel 4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