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37 SN-3975 (Sachsen) — [Einschränkung von Grundrechten]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nach dieser Verfassung ein Grundrecht durch Gesetz oder auf Grund eines Gesetzes eingeschränkt werden kann, muß das Gesetz allgemein und nicht nur für den Einzelfall gelten. Außerdem muß das Gesetz das Grundrecht unter Angabe des Artikels nennen.</w:t>
      </w:r>
    </w:p>
    <w:p>
      <w:r>
        <w:t xml:space="preserve">(2) In keinem Fall darf ein Grundrecht in seinem Wesensgehalt angetastet werden.</w:t>
      </w:r>
    </w:p>
    <w:p>
      <w:r>
        <w:t xml:space="preserve">(3) Die Grundrechte gelten auch für juristische Personen mit Sitz innerhalb der Bundesrepublik Deutschland, soweit sie ihrem Wesen nach auf diese anwendbar sind.</w:t>
      </w:r>
    </w:p>
    <w:p>
      <w:r>
        <w:rPr>
          <w:color w:val="555555"/>
          <w:sz w:val="17"/>
        </w:rPr>
        <w:t xml:space="preserve">Zitiervorschlag: Artikel 37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