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32 SN-3975 (Sachsen) — [Enteignung, Überführung in Gemeinwirtschaft]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Enteignung ist nur zum Wohl der Allgemeinheit zulässig. Sie darf nur durch Gesetz oder auf Grund eines Gesetzes erfolgen, das Art und Ausmaß der Entschädigung regelt.</w:t>
      </w:r>
    </w:p>
    <w:p>
      <w:r>
        <w:t xml:space="preserve">(2) Grund und Boden, Naturschätze und Produktionsmittel können zum Zweck der Vergesellschaftung durch ein Gesetz, das Art und Ausmaß der Entschädigung regelt, in Gemeineigentum oder in andere Formen der Gemeinwirtschaft überführt werden.</w:t>
      </w:r>
    </w:p>
    <w:p>
      <w:r>
        <w:t xml:space="preserve">(3) Die Entschädigung ist unter gerechter Abwägung der Interessen der Allgemeinheit und der Beteiligten zu bestimmen.</w:t>
      </w:r>
    </w:p>
    <w:p>
      <w:r>
        <w:rPr>
          <w:color w:val="555555"/>
          <w:sz w:val="17"/>
        </w:rPr>
        <w:t xml:space="preserve">Zitiervorschlag: Artikel 32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