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31 SN-3975 (Sachsen) — [Eigentum und Erbrecht]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Eigentum und das Erbrecht werden gewährleistet. Inhalt und Schranken werden durch die Gesetze bestimmt.</w:t>
      </w:r>
    </w:p>
    <w:p>
      <w:r>
        <w:t xml:space="preserve">(2) Eigentum verpflichtet. Sein Gebrauch soll zugleich dem Wohl der Allgemeinheit dienen, insbesondere die natürlichen Lebensgrundlagen schonen.</w:t>
      </w:r>
    </w:p>
    <w:p>
      <w:r>
        <w:rPr>
          <w:color w:val="555555"/>
          <w:sz w:val="17"/>
        </w:rPr>
        <w:t xml:space="preserve">Zitiervorschlag: Artikel 31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