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28 SN-3975 (Sachsen) — [Berufsfreiheit]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Beruf und Arbeitsplatz können frei gewählt werden, soweit Bundesrecht nicht entgegensteht. Die Berufsausübung kann durch Gesetz oder auf Grund eines Gesetzes geregelt werden.</w:t>
      </w:r>
    </w:p>
    <w:p>
      <w:r>
        <w:t xml:space="preserve">(2) Erwerbsmäßige Kinderarbeit ist grundsätzlich verboten.</w:t>
      </w:r>
    </w:p>
    <w:p>
      <w:r>
        <w:t xml:space="preserve">(3) Niemand darf zu einer bestimmten Arbeit gezwungen werden, außer im Rahmen einer herkömmlichen allgemeinen, für alle gleichen öffentlichen Dienstleistungspflicht.</w:t>
      </w:r>
    </w:p>
    <w:p>
      <w:r>
        <w:rPr>
          <w:color w:val="555555"/>
          <w:sz w:val="17"/>
        </w:rPr>
        <w:t xml:space="preserve">Zitiervorschlag: Artikel 28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https://recht.nulegal.eu/gesetze/SN-3975/28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