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27 SN-3975 (Sachsen) — [Brief-, Post- und Fernmeldegeheimnis]</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Briefgeheimnis sowie das Post- und Fernmeldegeheimnis sind unverletzlich.</w:t>
      </w:r>
    </w:p>
    <w:p>
      <w:r>
        <w:t xml:space="preserve">(2) Beschränkungen dürfen nur auf Grund eines Gesetzes angeordnet werden. Dient die Beschränkung dem Schutz der freiheitlichen demokratischen Grundordnung oder des Bestandes oder der Sicherung des Bundes oder eines Landes, so kann das Gesetz bestimmen, dass sie dem Betroffenen nicht mitgeteilt wird und dass an die Stelle des Rechtsweges die Nachprüfung durch von der Volksvertretung bestellte Organe und Hilfsorgane tritt. Für diesen Fall ist vorzusehen, dass die Beschränkungsmaßnahmen dem Betroffenen nach ihrem Abschluss mitzuteilen sind, wenn eine Gefährdung des Zweckes der Beschränkung ausgeschlossen werden kann.</w:t>
      </w:r>
    </w:p>
    <w:p>
      <w:r>
        <w:rPr>
          <w:color w:val="555555"/>
          <w:sz w:val="17"/>
        </w:rPr>
        <w:t xml:space="preserve">Zitiervorschlag: Artikel 27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