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20 SN-3975 (Sachsen) — [Meinungs-, Presse- und Rundfunkfreiheit]</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Jede Person hat das Recht, ihre Meinung in Wort, Schrift und Bild frei zu äußern und zu verbreiten und sich aus allgemein zugänglichen Quellen ungehindert zu unterrichten. Die Pressefreiheit und die Freiheit der Berichterstattung durch Rundfunk und Film werden gewährleistet. Eine Zensur findet nicht statt.</w:t>
      </w:r>
    </w:p>
    <w:p>
      <w:r>
        <w:t xml:space="preserve">(2) Unbeschadet des Rechtes, Rundfunk in privater Trägerschaft zu betreiben, werden Bestand und Entwicklung des öffentlich-rechtlichen Rundfunks gewährleistet.</w:t>
      </w:r>
    </w:p>
    <w:p>
      <w:r>
        <w:t xml:space="preserve">(3) Diese Rechte finden ihre Schranken in den Vorschriften der allgemeinen Gesetze, den gesetzlichen Bestimmungen zum Schutz der Jugend und in dem Recht der persönlichen Ehre.</w:t>
      </w:r>
    </w:p>
    <w:p>
      <w:r>
        <w:rPr>
          <w:color w:val="555555"/>
          <w:sz w:val="17"/>
        </w:rPr>
        <w:t xml:space="preserve">Zitiervorschlag: Artikel 20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