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19 SN-3975 (Sachsen) — [Glaubens-, Gewissens- und Bekenntnisfreiheit]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Freiheit des Glaubens, des Gewissens und die Freiheit des religiösen und weltanschaulichen Bekenntnisses sind unverletzlich.</w:t>
      </w:r>
    </w:p>
    <w:p>
      <w:r>
        <w:t xml:space="preserve">(2) Die ungestörte Religionsausübung wird gewährleistet.</w:t>
      </w:r>
    </w:p>
    <w:p>
      <w:r>
        <w:rPr>
          <w:color w:val="555555"/>
          <w:sz w:val="17"/>
        </w:rPr>
        <w:t xml:space="preserve">Zitiervorschlag: Artikel 19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