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Artikel 18 SN-3975 (Sachsen) — [Gleichheitsgrundsatz]</w:t>
      </w:r>
    </w:p>
    <w:p>
      <w:r>
        <w:rPr>
          <w:color w:val="555555"/>
          <w:sz w:val="18"/>
        </w:rPr>
        <w:t xml:space="preserve">Verfassung des Freistaates Sachsen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Alle Menschen sind vor dem Gesetz gleich.</w:t>
      </w:r>
    </w:p>
    <w:p>
      <w:r>
        <w:t xml:space="preserve">(2) Frauen und Männer sind gleichberechtigt.</w:t>
      </w:r>
    </w:p>
    <w:p>
      <w:r>
        <w:t xml:space="preserve">(3) Niemand darf wegen seines Geschlechtes, seiner Abstammung, seiner Rasse, seiner Sprache, seiner Heimat und Herkunft, seines Glaubens, seiner religiösen oder politischen Anschauungen benachteiligt oder bevorzugt werden.</w:t>
      </w:r>
    </w:p>
    <w:p>
      <w:r>
        <w:rPr>
          <w:color w:val="555555"/>
          <w:sz w:val="17"/>
        </w:rPr>
        <w:t xml:space="preserve">Zitiervorschlag: Artikel 18 SN-3975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https://recht.nulegal.eu/gesetze/SN-3975/18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