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17 SN-3975 (Sachsen) — [Rechtsgarantien bei Freiheitsentziehung]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Freiheit der Person kann nur auf Grund eines förmlichen Gesetzes und nur unter Beachtung der darin vorgeschriebenen Formen beschränkt werden. Die betroffene Person muß unverzüglich über die Gründe der Freiheitsbeschränkung unterrichtet werden.</w:t>
      </w:r>
    </w:p>
    <w:p>
      <w:r>
        <w:t xml:space="preserve">(2) Über die Zulässigkeit und Fortdauer einer Freiheitsentziehung hat nur der Richter zu entscheiden. Bei jeder nicht auf richterlicher Anordnung beruhenden Freiheitsentziehung ist unverzüglich eine richterliche Entscheidung herbeizuführen. Die Polizei darf aus eigener Machtvollkommenheit niemanden länger als bis zum Ende des Tages nach dem Ergreifen in eigenem Gewahrsam halten. Das Nähere bestimmt ein Gesetz.</w:t>
      </w:r>
    </w:p>
    <w:p>
      <w:r>
        <w:t xml:space="preserve">(3) Jede wegen des Verdachtes einer strafbaren Handlung vorläufig festgenommene Person ist spätestens am Tag nach der Festnahme dem Richter vorzuführen, der ihr die Gründe der Festnahme mitzuteilen, sie zu vernehmen und ihr Gelegenheit zu Einwendungen zu geben hat. Der Richter hat unverzüglich entweder einen mit Gründen versehenen schriftlichen Haftbefehl zu erlassen oder die Freilassung anzuordnen.</w:t>
      </w:r>
    </w:p>
    <w:p>
      <w:r>
        <w:t xml:space="preserve">(4) Von jeder richterlichen Entscheidung über die Anordnung oder Fortdauer einer Freiheitsentziehung ist unverzüglich eine Vertrauensperson oder ein Familienmitglied der festgehaltenen Person zu benachrichtigen.</w:t>
      </w:r>
    </w:p>
    <w:p>
      <w:r>
        <w:rPr>
          <w:color w:val="555555"/>
          <w:sz w:val="17"/>
        </w:rPr>
        <w:t xml:space="preserve">Zitiervorschlag: Artikel 17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