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16 SN-3975 (Sachsen) — [Recht auf Leben und körperliche Unversehrtheit, Freiheit der Person]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Jeder Mensch hat das Recht auf Leben und körperliche Unversehrtheit. Die Freiheit der Person ist unverletzlich. In diese Rechte darf nur auf Grund eines Gesetzes eingegriffen werden.</w:t>
      </w:r>
    </w:p>
    <w:p>
      <w:r>
        <w:t xml:space="preserve">(2) Niemand darf grausamer, unmenschlicher oder erniedrigender Behandlung oder Strafe und ohne seine freiwillige und ausdrückliche Zustimmung wissenschaftlichen oder anderen Experimenten unterworfen werden.</w:t>
      </w:r>
    </w:p>
    <w:p>
      <w:r>
        <w:rPr>
          <w:color w:val="555555"/>
          <w:sz w:val="17"/>
        </w:rPr>
        <w:t xml:space="preserve">Zitiervorschlag: Artikel 16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