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141 SN-3975 (Sachsen) — Weimarer Verfassung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das Bedürfnis nach Gottesdienst und Seelsorge im Heer, in Krankenhäusern, Strafanstalten oder sonstigen öffentlichen Anstalten besteht, sind die Religionsgesellschaften zur Vornahme religiöser Handlungen zuzulassen, wobei jeder Zwang fernzuhalten ist.</w:t>
      </w:r>
    </w:p>
    <w:p>
      <w:r>
        <w:t xml:space="preserve">Die vorstehende Verfassung wird hiermit ausgefertigt.</w:t>
      </w:r>
    </w:p>
    <w:p>
      <w:r>
        <w:t xml:space="preserve">Dresden, den 27. Mai 1992</w:t>
      </w:r>
    </w:p>
    <w:p>
      <w:r>
        <w:t xml:space="preserve">Erich Iltgen</w:t>
      </w:r>
    </w:p>
    <w:p>
      <w:r>
        <w:t xml:space="preserve">Präsident des Sächsischen Landtages</w:t>
      </w:r>
    </w:p>
    <w:p>
      <w:r>
        <w:t xml:space="preserve">als verfassungsgebender Landesversammlung</w:t>
      </w:r>
    </w:p>
    <w:p>
      <w:r>
        <w:t xml:space="preserve">Die vorstehende Verfassung ist im Sächsischen Gesetz- und Verordnungsblatt zu verkünden. Dresden, den 27. Mai 1992</w:t>
      </w:r>
    </w:p>
    <w:p>
      <w:r>
        <w:t xml:space="preserve">Prof. Dr. Kurt Biedenkopf</w:t>
      </w:r>
    </w:p>
    <w:p>
      <w:r>
        <w:t xml:space="preserve">Ministerpräsident des Freistaates Sachsen</w:t>
      </w:r>
    </w:p>
    <w:p>
      <w:r>
        <w:rPr>
          <w:color w:val="555555"/>
          <w:sz w:val="17"/>
        </w:rPr>
        <w:t xml:space="preserve">Zitiervorschlag: Artikel 141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https://recht.nulegal.eu/gesetze/SN-3975/141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