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122 SN-3975 (Sachsen) — [Annahme, Verkündung, Inkrafttreten]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Verfassung bedarf der Zustimmung von zwei Dritteln der Mitglieder des Landtages.</w:t>
      </w:r>
    </w:p>
    <w:p>
      <w:r>
        <w:t xml:space="preserve">(2) Sie wird vom Präsidenten des Landtages ausgefertigt und vom Ministerpräsidenten im Gesetz- und Verordnungsblatt des Freistaates Sachsen verkündet.</w:t>
      </w:r>
    </w:p>
    <w:p>
      <w:r>
        <w:t xml:space="preserve">(3) Die Verfassung tritt am Tag nach ihrer Verkündung in Kraft.</w:t>
      </w:r>
    </w:p>
    <w:p>
      <w:r>
        <w:rPr>
          <w:color w:val="555555"/>
          <w:sz w:val="17"/>
        </w:rPr>
        <w:t xml:space="preserve">Zitiervorschlag: Artikel 122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