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120 SN-3975 (Sachsen) — [Fortgeltung von Landesrecht]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im Gebiet des Freistaates Sachsen als Landesrecht geltende Recht bleibt in Kraft, soweit es dieser Verfassung nicht widerspricht.</w:t>
      </w:r>
    </w:p>
    <w:p>
      <w:r>
        <w:t xml:space="preserve">(2) Landesrecht und Landesgesetze im Sinne der Artikel 81 Absatz 1 Nr. 2 und 3 sowie Artikel 90 sind auch das Recht und die Gesetze aus der Zeit vor dem Inkrafttreten dieser Verfassung.</w:t>
      </w:r>
    </w:p>
    <w:p>
      <w:r>
        <w:rPr>
          <w:color w:val="555555"/>
          <w:sz w:val="17"/>
        </w:rPr>
        <w:t xml:space="preserve">Zitiervorschlag: Artikel 120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