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113 SN-3975 (Sachsen) — [Notstand, Notparlament]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bei drohender Gefahr für den Bestand oder die freiheitliche demokratische Grundordnung des Landes oder für die lebensnotwendige Versorgung der Bevölkerung sowie bei einem Notstand infolge einer Naturkatastrophe oder eines besonders schweren Unglücksfalles der Landtag verhindert, sich alsbald zu versammeln, so nimmt ein aus allen Fraktionen des Landtages gebildeter Ausschuss des Landtages als Notparlament die Rechte des Landtages wahr. Die Verfassung darf durch ein von diesem Ausschuss beschlossenes Gesetz nicht geändert werden. Die Befugnis, dem Ministerpräsidenten das Vertrauen zu entziehen, steht dem Ausschuss nicht zu.</w:t>
      </w:r>
    </w:p>
    <w:p>
      <w:r>
        <w:t xml:space="preserve">(2) Solange eine Gefahr für den Bestand oder die freiheitliche demokratische Grundordnung des Landes droht, finden durch das Volk vorzunehmende Wahlen und Abstimmungen nicht statt. Die Feststellung, dass Wahlen und Abstimmungen nicht stattfinden, trifft der Landtag mit einer Mehrheit von zwei Dritteln seiner Mitglieder. Ist der Landtag verhindert, sich alsbald zu versammeln, so trifft der in Absatz 1 genannte Ausschuss die Feststellung mit einer Mehrheit von zwei Dritteln seiner Mitglieder. Die verschobenen Wahlen und Abstimmungen sind innerhalb von sechs Monaten, nachdem der Landtag festgestellt hat, dass die Gefahr beendet ist, durchzuführen. Die Amtsdauer der in Betracht kommenden Personen und Körperschaften verlängert sich bis zum Ablauf des Tages der Neuwahl.</w:t>
      </w:r>
    </w:p>
    <w:p>
      <w:r>
        <w:t xml:space="preserve">(3) Die Feststellung, dass der Landtag verhindert ist, sich alsbald zu versammeln, trifft der Präsident des Landtages.</w:t>
      </w:r>
    </w:p>
    <w:p>
      <w:r>
        <w:t xml:space="preserve">(4) Gesetze werden im Fall des Absatzes 1, falls eine rechtzeitige Verkündung im Gesetz- und Verordnungsblatt des Freistaates Sachsen nicht möglich ist, auf andere Weise öffentlich bekanntgemacht. Die Verkündung im Gesetz- und Verordnungsblatt ist nachzuholen, sobald die Umstände es zulassen.</w:t>
      </w:r>
    </w:p>
    <w:p>
      <w:r>
        <w:t xml:space="preserve">(5) Beschlüsse des in Absatz 1 genannten Ausschusses können vom Landtag aufgehoben werden, wenn dies spätestens vier Wochen nach dem nächsten Zusammentritt des Landtages beantragt wird.</w:t>
      </w:r>
    </w:p>
    <w:p>
      <w:r>
        <w:rPr>
          <w:color w:val="555555"/>
          <w:sz w:val="17"/>
        </w:rPr>
        <w:t xml:space="preserve">Zitiervorschlag: Artikel 113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