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112 SN-3975 (Sachsen) — [Staatsleistungen an die Kirchen]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 Gesetz, Vertrag oder besonderen Rechtstiteln beruhenden Leistungen des Landes an die Kirchen werden gewährleistet.</w:t>
      </w:r>
    </w:p>
    <w:p>
      <w:r>
        <w:t xml:space="preserve">(2) Die Baudenkmale der Kirchen und Religionsgemeinschaften sind, unbeschadet des Eigentumsrechtes, Kulturgut der Allgemeinheit. Für ihre bauliche Unterhaltung haben die Kirchen und Religionsgemeinschaften daher Anspruch auf angemessene Kostenerstattung durch das Land nach Maßgabe der Gesetze.</w:t>
      </w:r>
    </w:p>
    <w:p>
      <w:r>
        <w:rPr>
          <w:color w:val="555555"/>
          <w:sz w:val="17"/>
        </w:rPr>
        <w:t xml:space="preserve">Zitiervorschlag: Artikel 112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