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110 SN-3975 (Sachsen) — [Gemeinnützige Einrichtungen in kirchlicher oder freier Trägerschaft]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Werden durch die Kirchen und Religionsgemeinschaften im öffentlichen Interesse liegende gemeinnützige Einrichtungen oder Anstalten unterhalten, so besteht Anspruch auf angemessene Kostenerstattung durch das Land nach Maßgabe der Gesetze.</w:t>
      </w:r>
    </w:p>
    <w:p>
      <w:r>
        <w:t xml:space="preserve">(2) Freie Träger mit vergleichbarer Tätigkeit und gleichwertigen Leistungen haben den gleichen Anspruch.</w:t>
      </w:r>
    </w:p>
    <w:p>
      <w:r>
        <w:rPr>
          <w:color w:val="555555"/>
          <w:sz w:val="17"/>
        </w:rPr>
        <w:t xml:space="preserve">Zitiervorschlag: Artikel 110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https://recht.nulegal.eu/gesetze/SN-3975/110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