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 SN-3975 (Sachsen) — [Förderung von Kultur, Kunst, Wissenschaft und Sport]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 fördert das kulturelle, das künstlerische und wissenschaftliche Schaffen, die sportliche Betätigung sowie den Austausch auf diesen Gebieten.</w:t>
      </w:r>
    </w:p>
    <w:p>
      <w:r>
        <w:t xml:space="preserve">(2) Die Teilnahme an der Kultur in ihrer Vielfalt und am Sport ist dem gesamten Volk zu ermöglichen. Zu diesem Zweck werden öffentlich zugängliche Museen, Bibliotheken, Archive, Gedenkstätten, Theater, Sportstätten, musikalische und weitere kulturelle Einrichtungen sowie allgemein zugängliche Universitäten, Hochschulen, Schulen und andere Bildungseinrichtungen unterhalten.</w:t>
      </w:r>
    </w:p>
    <w:p>
      <w:r>
        <w:t xml:space="preserve">(3) Denkmale und andere Kulturgüter stehen unter dem Schutz und der Pflege des Landes. Für ihr Verbleiben in Sachsen setzt sich das Land ein.</w:t>
      </w:r>
    </w:p>
    <w:p>
      <w:r>
        <w:rPr>
          <w:color w:val="555555"/>
          <w:sz w:val="17"/>
        </w:rPr>
        <w:t xml:space="preserve">Zitiervorschlag: Artikel 11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