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105 SN-3975 (Sachsen) — [Ethik- und Religionsunterricht]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Ethikunterricht und Religionsunterricht sind an den Schulen mit Ausnahme der bekenntnisgebundenen und bekenntnisfreien Schulen ordentliche Lehrfächer. Bis zum Eintritt der Religionsmündigkeit entscheiden die Erziehungsberechtigten, in welchem dieser Fächer ihr Kind unterrichtet wird.</w:t>
      </w:r>
    </w:p>
    <w:p>
      <w:r>
        <w:t xml:space="preserve">(2) Der Religionsunterricht wird unbeschadet des allgemeinen Aufsichtsrechtes des Freistaates nach den Grundsätzen der Kirchen und Religionsgemeinschaften erteilt. Die Lehrer bedürfen zur Erteilung des Religionsunterrichtes der Bevollmächtigung durch die Kirchen und Religionsgemeinschaften. Diese haben das Recht, im Benehmen mit der staatlichen Aufsichtsbehörde die Erteilung des Religionsunterrichtes zu beaufsichtigen.</w:t>
      </w:r>
    </w:p>
    <w:p>
      <w:r>
        <w:t xml:space="preserve">(3) Kein Lehrer darf gegen seinen Willen verpflichtet werden, Religionsunterricht zu erteilen.</w:t>
      </w:r>
    </w:p>
    <w:p>
      <w:r>
        <w:rPr>
          <w:color w:val="555555"/>
          <w:sz w:val="17"/>
        </w:rPr>
        <w:t xml:space="preserve">Zitiervorschlag: Artikel 105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