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 SN-3975 (Sachsen) — [Schutz der natürlichen Lebensgrundlagen]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Schutz der Umwelt als Lebensgrundlage ist, auch in Verantwortung für kommende Generationen, Pflicht des Landes und Verpflichtung aller im Land. Das Land hat insbesondere den Boden, die Luft und das Wasser, Tiere und Pflanzen sowie die Landschaft als Ganzes einschließlich ihrer gewachsenen Siedlungsräume zu schützen. Es hat auf den sparsamen Gebrauch und die Rückgewinnung von Rohstoffen und die sparsame Nutzung von Energie und Wasser hinzuwirken.</w:t>
      </w:r>
    </w:p>
    <w:p>
      <w:r>
        <w:t xml:space="preserve">(2) Anerkannte Naturschutzverbände haben das Recht, nach Maßgabe der Gesetze an umweltbedeutsamen Verwaltungsverfahren mitzuwirken. Ihnen ist Klagebefugnis in Umweltbelangen einzuräumen; das Nähere bestimmt ein Gesetz.</w:t>
      </w:r>
    </w:p>
    <w:p>
      <w:r>
        <w:t xml:space="preserve">(3) Das Land erkennt das Recht auf Genuss der Naturschönheiten und Erholung in der freien Natur an, soweit dem nicht die Ziele nach Absatz 1 entgegenstehen. Der Allgemeinheit ist in diesem Rahmen der Zugang zu Bergen, Wäldern, Feldern, Seen und Flüssen zu ermöglichen.</w:t>
      </w:r>
    </w:p>
    <w:p>
      <w:r>
        <w:rPr>
          <w:color w:val="555555"/>
          <w:sz w:val="17"/>
        </w:rPr>
        <w:t xml:space="preserve">Zitiervorschlag: Artikel 10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