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SN-3932 (Sachsen)</w:t>
      </w:r>
    </w:p>
    <w:p>
      <w:r>
        <w:rPr>
          <w:color w:val="555555"/>
          <w:sz w:val="18"/>
        </w:rPr>
        <w:t xml:space="preserve">Gesetz zu dem Staatsvertrag über die Süddeutsche Klassenlotterie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Der Sächsische Landtag hat am 17. September 1992 das folgende Gesetz beschlossen:</w:t>
      </w:r>
    </w:p>
    <w:p>
      <w:r>
        <w:rPr>
          <w:color w:val="555555"/>
          <w:sz w:val="17"/>
        </w:rPr>
        <w:t xml:space="preserve">Zitiervorschlag: Eingangsformel SN-3932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https://recht.nulegal.eu/gesetze/SN-3932/eingangsformel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