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2 SN-3932 (Sachsen)</w:t>
      </w:r>
    </w:p>
    <w:p>
      <w:r>
        <w:rPr>
          <w:color w:val="555555"/>
          <w:sz w:val="18"/>
        </w:rPr>
        <w:t xml:space="preserve">Gesetz zu dem Staatsvertrag über die Süddeutsche Klassenlotterie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Gesetz tritt am Tage nach seiner Verkündung in Kraft.</w:t>
      </w:r>
    </w:p>
    <w:p>
      <w:r>
        <w:t xml:space="preserve">(2) Der Tag, an dem der Staatsvertrag nach seinem Artikel 16 in Kraft tritt, ist im Sächsischen Gesetz- und Verordnungsblatt bekanntzugeben.</w:t>
      </w:r>
    </w:p>
    <w:p>
      <w:r>
        <w:t xml:space="preserve">Das vorstehende Gesetz wird hiermit ausgefertigt und ist zu verkünden.</w:t>
      </w:r>
    </w:p>
    <w:p>
      <w:r>
        <w:t xml:space="preserve">Dresden, den 16. Oktober 1992</w:t>
      </w:r>
    </w:p>
    <w:p>
      <w:r>
        <w:t xml:space="preserve">Der Landtagspräsident</w:t>
      </w:r>
    </w:p>
    <w:p>
      <w:r>
        <w:t xml:space="preserve">Erich Iltgen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Finanzen</w:t>
      </w:r>
    </w:p>
    <w:p>
      <w:r>
        <w:t xml:space="preserve">Prof. Dr. Georg Milbradt</w:t>
      </w:r>
    </w:p>
    <w:p>
      <w:r>
        <w:rPr>
          <w:color w:val="555555"/>
          <w:sz w:val="17"/>
        </w:rPr>
        <w:t xml:space="preserve">Zitiervorschlag: Artikel 2 SN-3932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https://recht.nulegal.eu/gesetze/SN-3932/2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