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SN-3370 (Sachsen) — Verschmelzung des Sachsen-Finanzverbands auf die Sachsen-Finanzgruppe</w:t>
      </w:r>
    </w:p>
    <w:p>
      <w:r>
        <w:rPr>
          <w:color w:val="555555"/>
          <w:sz w:val="18"/>
        </w:rPr>
        <w:t xml:space="preserve">Verordnung der Sächsischen Staatsregierung zur Verschmelzung des Sachsen-Finanzverbandes auf die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Sachsen-Finanzverband wird zum 31. August 2003, 24.00 Uhr (dinglicher Verschmelzungszeitpunkt), auf die Sachsen-Finanzgruppe verschmolzen. Mit der Verschmelzung geht das Vermögen des Sachsen-Finanzverbandes einschließlich der Verbindlichkeiten im Wege der Gesamtrechtsnachfolge auf die Sachsen-Finanzgruppe über.</w:t>
      </w:r>
    </w:p>
    <w:p>
      <w:r>
        <w:t xml:space="preserve">(2) Die Anteilseigner des Sachsen-Finanzverbandes werden mit der Verschmelzung Beteiligte am Stammkapital der Sachsen-Finanzgruppe nach Maßgabe der Verschmelzungsvereinbarungen.</w:t>
      </w:r>
    </w:p>
    <w:p>
      <w:r>
        <w:t xml:space="preserve">(3) Der Sachsen-Finanzverband hat auf den Schluss des Tages, der dem in den Verschmelzungsvereinbarungen festgelegten schuldrechtlichen Verschmelzungszeitpunkt gemäß § 2 der Verordnung der Sächsischen Staatsregierung zur Gründung der Sachsen-Finanzgruppe vom 22. Juli 2003 (SächsGVBl. S. 198) vorausgeht, eine Schlussbilanz aufzustellen, die der Übertragung des Vermögens handels- und steuerrechtlich zu Grunde gelegt wird. Die Bilanz darf nur auf einen höchstens acht Monate vor dem dinglichen Verschmelzungszeitpunkt liegenden Stichtag aufgestellt werden.</w:t>
      </w:r>
    </w:p>
    <w:p>
      <w:r>
        <w:rPr>
          <w:color w:val="555555"/>
          <w:sz w:val="17"/>
        </w:rPr>
        <w:t xml:space="preserve">Zitiervorschlag: § 1 SN-3370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https://recht.nulegal.eu/gesetze/SN-3370/1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