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SN-3347 (Sachsen)</w:t>
      </w:r>
    </w:p>
    <w:p>
      <w:r>
        <w:rPr>
          <w:color w:val="555555"/>
          <w:sz w:val="18"/>
        </w:rPr>
        <w:t xml:space="preserve">Verordnung der Staatsregierung über Zuständigkeiten nach dem Gesetz über die Änderung von Familiennamen und Vornamen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13a des Gesetzes über die Änderung von Familiennamen und Vornamen vom 5. Januar 1938 (RGBl. I S. 9), zuletzt geändert durch Artikel 7 § 30 des Gesetzes vom 12. September 1990 (BGBl. I S. 2002), und § 2 Abs. 3 der Ersten Verordnung zur Durchführung des Gesetzes über die Änderung von Familiennamen und Vornamen vom 7. Januar 1938 (RGBl. I S. 12), geändert durch Artikel 11 der Verordnung vom 18. April 1975 (BGBl. I S. 967), und</w:t>
      </w:r>
    </w:p>
    <w:p>
      <w:r>
        <w:t xml:space="preserve">§ 123 Abs. 3 der Gemeindeordnung für den Freistaat Sachsen (SächsGemO) vom 21. April 1993 (SächsGVBl. S. 301), zuletzt geändert durch Gesetz vom 14. Dezember 1995 (SächsGVBl. S. 414):</w:t>
      </w:r>
    </w:p>
    <w:p>
      <w:r>
        <w:rPr>
          <w:color w:val="555555"/>
          <w:sz w:val="17"/>
        </w:rPr>
        <w:t xml:space="preserve">Zitiervorschlag: Eingangsformel SN-3347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https://recht.nulegal.eu/gesetze/SN-3347/eingangsformel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