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SN-3347 (Sachsen)</w:t>
      </w:r>
    </w:p>
    <w:p>
      <w:r>
        <w:rPr>
          <w:color w:val="555555"/>
          <w:sz w:val="18"/>
        </w:rPr>
        <w:t xml:space="preserve">Verordnung der Staatsregierung über Zuständigkeiten nach dem Gesetz über die Änderung von Familiennamen und Vornamen</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1. Oktober 1996 in Kraft. Gleichzeitig tritt die Verordnung der Sächsischen Staatsregierung über Zuständigkeiten nach dem Gesetz über die Änderung von Familiennamen und Vornamen vom 10. September 1991 (SächsGVBl. S. 352) außer Kraft.</w:t>
      </w:r>
    </w:p>
    <w:p>
      <w:r>
        <w:t xml:space="preserve">Dresden, den 23. Juli 1996</w:t>
      </w:r>
    </w:p>
    <w:p>
      <w:r>
        <w:t xml:space="preserve">Der Ministerpräsident</w:t>
      </w:r>
    </w:p>
    <w:p>
      <w:r>
        <w:t xml:space="preserve">Prof. Dr. Kurt Biedenkopf</w:t>
      </w:r>
    </w:p>
    <w:p>
      <w:r>
        <w:t xml:space="preserve">Der Staatsminister des Innern</w:t>
      </w:r>
    </w:p>
    <w:p>
      <w:r>
        <w:t xml:space="preserve">In Vertretung</w:t>
      </w:r>
    </w:p>
    <w:p>
      <w:r>
        <w:t xml:space="preserve">Hubert Wicker</w:t>
      </w:r>
    </w:p>
    <w:p>
      <w:r>
        <w:t xml:space="preserve">Staatssekretär</w:t>
      </w:r>
    </w:p>
    <w:p>
      <w:r>
        <w:rPr>
          <w:color w:val="555555"/>
          <w:sz w:val="17"/>
        </w:rPr>
        <w:t xml:space="preserve">Zitiervorschlag: § 5 SN-3347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https://recht.nulegal.eu/gesetze/SN-3347/5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