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SN-3347 (Sachsen)</w:t>
      </w:r>
    </w:p>
    <w:p>
      <w:r>
        <w:rPr>
          <w:color w:val="555555"/>
          <w:sz w:val="18"/>
        </w:rPr>
        <w:t xml:space="preserve">Verordnung der Staatsregierung über Zuständigkeiten nach dem Gesetz über die Änderung von Familiennamen und Vornamen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Aufgaben der Landratsämter und Kreisfreien Städte nach § 1 sind Weisungsaufgaben. Das Weisungsrecht ist unbeschränkt. Fachaufsichtsbehörden sind die Landesdirektion Sachsen und das Staatsministerium des Innern.</w:t>
      </w:r>
    </w:p>
    <w:p>
      <w:r>
        <w:rPr>
          <w:color w:val="555555"/>
          <w:sz w:val="17"/>
        </w:rPr>
        <w:t xml:space="preserve">Zitiervorschlag: § 3 SN-3347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https://recht.nulegal.eu/gesetze/SN-3347/3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