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SN-3154 (Sachsen)</w:t>
      </w:r>
    </w:p>
    <w:p>
      <w:r>
        <w:rPr>
          <w:color w:val="555555"/>
          <w:sz w:val="18"/>
        </w:rPr>
        <w:t xml:space="preserve">Verordnung des Sächsischen Staatsministeriums für Umwelt und Landwirtschaft über die Voraussetzungen und das Verfahren der Zulassung privater Kontrollstellen nach dem Lebensmittelspezialitätengesetz und dem Markengesetz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§ 5 Satz 1 des Gesetzes zur Durchführung der Rechtsakte der Europäischen Gemeinschaft über Bescheinigungen besonderer Merkmale von Agrarerzeugnissen und Lebensmitteln ( Lebensmittelspezialitätengesetz – LSpG ) vom 29. Oktober 1993 (BGBl. I S. 1814), das zuletzt durch Artikel 3 des Gesetzes vom 2. August 1994 (BGBl. I S. 2018, 2023) geändert worden ist, in Verbindung mit § 1 Abs. 2 der Verordnung der Sächsischen Staatsregierung zur Übertragung von Zuständigkeiten nach dem Lebensmittelspezialitätengesetz und dem Markengesetz vom 24. Juli 1998 (SächsGVBl. S. 434),</w:t>
      </w:r>
    </w:p>
    <w:p>
      <w:r>
        <w:t xml:space="preserve">§ 139 Abs. 2 Satz 2 des Gesetzes über den Schutz von Marken und sonstigen Kennzeichen ( Markengesetz – MarkenG ) vom 25. Oktober 1994 (BGBl. I S. 3082, 1995 I S. 156), zuletzt geändert durch Artikel 5 des Gesetzes vom 16. Juli 1998 (BGBl. I S. 1827, 1833), in Verbindung mit § 2 Abs. 2 der Verordnung der Sächsischen Staatsregierung zur Übertragung von Zuständigkeiten nach dem Lebensmittelspezialitätengesetz und dem Markengesetz ,</w:t>
      </w:r>
    </w:p>
    <w:p>
      <w:r>
        <w:t xml:space="preserve">§ 1 Nr. 2 des Gesetzes zur Übertragung von Zuständigkeiten auf nachgeordnete Behörden im Freistaat Sachsen (SächsZuÜbG) vom 17. Januar 1994 (SächsGVBl. S. 89):</w:t>
      </w:r>
    </w:p>
    <w:p>
      <w:r>
        <w:rPr>
          <w:color w:val="555555"/>
          <w:sz w:val="17"/>
        </w:rPr>
        <w:t xml:space="preserve">Zitiervorschlag: Eingangsformel SN-3154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https://recht.nulegal.eu/gesetze/SN-3154/eingangsformel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