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SN-3103 (Sachsen)</w:t>
      </w:r>
    </w:p>
    <w:p>
      <w:r>
        <w:rPr>
          <w:color w:val="555555"/>
          <w:sz w:val="18"/>
        </w:rPr>
        <w:t xml:space="preserve">Sächsische Grundsteuer-Anerkennungsverordnung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 Nr. 5, § 5 Abs. 1 Nr. 2 Satz 2 und § 32 Abs. 2 Satz 2 des Grundsteuergesetzes ( GrStG ) vom 7. August 1973 (BGBl. I S. 965), zuletzt geändert durch Artikel 12 des Gesetzes vom 14. September 1994 (BGBl. I S. 2325), wird verordnet:</w:t>
      </w:r>
    </w:p>
    <w:p>
      <w:r>
        <w:rPr>
          <w:color w:val="555555"/>
          <w:sz w:val="17"/>
        </w:rPr>
        <w:t xml:space="preserve">Zitiervorschlag: Eingangsformel SN-3103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