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SN-3103 (Sachsen) — Inkrafttreten</w:t>
      </w:r>
    </w:p>
    <w:p>
      <w:r>
        <w:rPr>
          <w:color w:val="555555"/>
          <w:sz w:val="18"/>
        </w:rPr>
        <w:t xml:space="preserve">Sächsische Grundsteuer-Anerkennungsverordnung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1991 in Kraft.</w:t>
      </w:r>
    </w:p>
    <w:p>
      <w:r>
        <w:t xml:space="preserve">Dresden, den 4. Juni 1996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Finanzen</w:t>
      </w:r>
    </w:p>
    <w:p>
      <w:r>
        <w:t xml:space="preserve">Prof. Dr. Georg Milbradt</w:t>
      </w:r>
    </w:p>
    <w:p>
      <w:r>
        <w:rPr>
          <w:color w:val="555555"/>
          <w:sz w:val="17"/>
        </w:rPr>
        <w:t xml:space="preserve">Zitiervorschlag: § 4 SN-3103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https://recht.nulegal.eu/gesetze/SN-3103/4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