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SN-3103 (Sachsen) — Anerkennung von Kulturgütern</w:t>
      </w:r>
    </w:p>
    <w:p>
      <w:r>
        <w:rPr>
          <w:color w:val="555555"/>
          <w:sz w:val="18"/>
        </w:rPr>
        <w:t xml:space="preserve">Sächsische Grundsteuer-Anerkennungsverordnung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Anerkennungen nach § 32 Abs. 2 Satz 2 GrStG werden durch die untere Denkmalschutzbehörde erteilt.</w:t>
      </w:r>
    </w:p>
    <w:p>
      <w:r>
        <w:rPr>
          <w:color w:val="555555"/>
          <w:sz w:val="17"/>
        </w:rPr>
        <w:t xml:space="preserve">Zitiervorschlag: § 2 SN-3103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https://recht.nulegal.eu/gesetze/SN-3103/2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