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SN-3103 (Sachsen) — Anerkennung des öffentlichen Benutzungszwecks</w:t>
      </w:r>
    </w:p>
    <w:p>
      <w:r>
        <w:rPr>
          <w:color w:val="555555"/>
          <w:sz w:val="18"/>
        </w:rPr>
        <w:t xml:space="preserve">Sächsische Grundsteuer-Anerkennungsverordnung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Anerkennungen nach § 4 Nr. 5 GrStG und § 5 Abs. 1 Nr. 2 Satz 2 GrStG werden durch das Landesamt für Steuern und Finanzen erteilt.</w:t>
      </w:r>
    </w:p>
    <w:p>
      <w:r>
        <w:t xml:space="preserve">(2) In den Fällen des § 42 GrStG werden die Anerkennungen nach § 1 Abs. 1 durch die Landesdirektion Sachsen erteilt.</w:t>
      </w:r>
    </w:p>
    <w:p>
      <w:r>
        <w:rPr>
          <w:color w:val="555555"/>
          <w:sz w:val="17"/>
        </w:rPr>
        <w:t xml:space="preserve">Zitiervorschlag: § 1 SN-3103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https://recht.nulegal.eu/gesetze/SN-3103/1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