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SN-3082 (Sachsen)</w:t>
      </w:r>
    </w:p>
    <w:p>
      <w:r>
        <w:rPr>
          <w:color w:val="555555"/>
          <w:sz w:val="18"/>
        </w:rPr>
        <w:t xml:space="preserve">Gesetz über das Wappen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Staatsregierung regelt durch Rechtsverordnung</w:t>
      </w:r>
    </w:p>
    <w:p>
      <w:r>
        <w:t xml:space="preserve">die wappenführenden Stellen sowie den Umfang der Wappenführungsbefugnis,</w:t>
      </w:r>
    </w:p>
    <w:p>
      <w:r>
        <w:t xml:space="preserve">die genehmigungsfreie Verwendung des Wappens, insbesondere zu künstlerischen und wissenschaftlichen Zwecken, sowie die Verwendung zu kommerziellen Zwecken,</w:t>
      </w:r>
    </w:p>
    <w:p>
      <w:r>
        <w:t xml:space="preserve">Näheres zu Siegeln, Amtsschildern und Dienstflaggen.</w:t>
      </w:r>
    </w:p>
    <w:p>
      <w:r>
        <w:t xml:space="preserve">Die Staatsregierung kann ein dem Staatswappen ähnliches Zeichen zur allgemeinen Verwendung zulassen.</w:t>
      </w:r>
    </w:p>
    <w:p>
      <w:r>
        <w:rPr>
          <w:color w:val="555555"/>
          <w:sz w:val="17"/>
        </w:rPr>
        <w:t xml:space="preserve">Zitiervorschlag: § 3 SN-3082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https://recht.nulegal.eu/gesetze/SN-3082/3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