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SN-3082 (Sachsen)</w:t>
      </w:r>
    </w:p>
    <w:p>
      <w:r>
        <w:rPr>
          <w:color w:val="555555"/>
          <w:sz w:val="18"/>
        </w:rPr>
        <w:t xml:space="preserve">Gesetz über das Wappen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kleine Wappen des Freistaates Sachsen zeigt im neunmal von Schwarz und Gold geteiltem Schild einen schrägrechten grünen Rautenkranz.</w:t>
      </w:r>
    </w:p>
    <w:p>
      <w:r>
        <w:t xml:space="preserve">(2) Ein großes Staatswappen des Freistaates Sachsen kann durch besonderes Gesetz bestimmt werden.</w:t>
      </w:r>
    </w:p>
    <w:p>
      <w:r>
        <w:rPr>
          <w:color w:val="555555"/>
          <w:sz w:val="17"/>
        </w:rPr>
        <w:t xml:space="preserve">Zitiervorschlag: § 1 SN-3082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https://recht.nulegal.eu/gesetze/SN-3082/1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