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SN-3004 (Sachsen) — Inkrafttreten, Außerkrafttreten</w:t>
      </w:r>
    </w:p>
    <w:p>
      <w:r>
        <w:rPr>
          <w:color w:val="555555"/>
          <w:sz w:val="18"/>
        </w:rPr>
        <w:t xml:space="preserve">Verordnung der Sächsischen Staatsregierung über die Wahl der Beisitzer in den Ausschüssen und Kammern für Kriegsdienstverweigerung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Tage nach ihrer Verkündung in Kraft.</w:t>
      </w:r>
    </w:p>
    <w:p>
      <w:r>
        <w:t xml:space="preserve">(2) Gleichzeitig tritt die Verordnung der Sächsischen Staatsregierung über die Beisitzer in den Ausschüssen und Kammern nach dem Wehrpflichtgesetz und Kriegsdienstverweigerungsgesetz vom 17. Juli 1991 (SächsGVBl. S. 245) außer Kraft.</w:t>
      </w:r>
    </w:p>
    <w:p>
      <w:r>
        <w:t xml:space="preserve">Dresden, den 14. Juli 1995</w:t>
      </w:r>
    </w:p>
    <w:p>
      <w:r>
        <w:t xml:space="preserve">Der Ministerpräsident</w:t>
      </w:r>
    </w:p>
    <w:p>
      <w:r>
        <w:t xml:space="preserve">In Vertretung</w:t>
      </w:r>
    </w:p>
    <w:p>
      <w:r>
        <w:t xml:space="preserve">Steffen Heitmann</w:t>
      </w:r>
    </w:p>
    <w:p>
      <w:r>
        <w:t xml:space="preserve">Der Staatsminister der Justiz</w:t>
      </w:r>
    </w:p>
    <w:p>
      <w:r>
        <w:t xml:space="preserve">Der Staatsminister des Innern</w:t>
      </w:r>
    </w:p>
    <w:p>
      <w:r>
        <w:t xml:space="preserve">In Vertretung</w:t>
      </w:r>
    </w:p>
    <w:p>
      <w:r>
        <w:t xml:space="preserve">Steffen Heitmann</w:t>
      </w:r>
    </w:p>
    <w:p>
      <w:r>
        <w:t xml:space="preserve">Der Staatsminister der Justiz</w:t>
      </w:r>
    </w:p>
    <w:p>
      <w:r>
        <w:rPr>
          <w:color w:val="555555"/>
          <w:sz w:val="17"/>
        </w:rPr>
        <w:t xml:space="preserve">Zitiervorschlag: § 2 SN-3004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https://recht.nulegal.eu/gesetze/SN-3004/2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