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SN-2937 (Sachsen) — Aufgaben des Kuratoriums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Kuratorium hat insbesondere die Aufgabe</w:t>
      </w:r>
    </w:p>
    <w:p>
      <w:r>
        <w:t xml:space="preserve">1. den Stiftungsvorstand zu beraten,</w:t>
      </w:r>
    </w:p>
    <w:p>
      <w:r>
        <w:t xml:space="preserve">2. den Stiftungsdirektor zu bestellen,</w:t>
      </w:r>
    </w:p>
    <w:p>
      <w:r>
        <w:t xml:space="preserve">3. den Wirtschaftsplan zu beschließen,</w:t>
      </w:r>
    </w:p>
    <w:p>
      <w:r>
        <w:t xml:space="preserve">4. den Jahresabschluss festzustellen und den Lagebericht zu billigen sowie</w:t>
      </w:r>
    </w:p>
    <w:p>
      <w:r>
        <w:t xml:space="preserve">5. den Stiftungsvorstand zu entlasten.</w:t>
      </w:r>
    </w:p>
    <w:p>
      <w:r>
        <w:rPr>
          <w:color w:val="555555"/>
          <w:sz w:val="17"/>
        </w:rPr>
        <w:t xml:space="preserve">Zitiervorschlag: § 6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