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SN-2937 (Sachsen) — Stiftungszweck, Vergabe von Mitteln</w:t>
      </w:r>
    </w:p>
    <w:p>
      <w:r>
        <w:rPr>
          <w:color w:val="555555"/>
          <w:sz w:val="18"/>
        </w:rPr>
        <w:t xml:space="preserve">Gesetz über die Errichtung der Kulturstiftung des Freistaates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Kulturstiftung fördert die Kultur und Kunst im Freistaat Sachsen. Sie verfolgt ausschließlich und unmittelbar gemeinnützige Zwecke im Sinne des Abschnitts „Steuerbegünstigte Zwecke“ der Abgabenordnung .</w:t>
      </w:r>
    </w:p>
    <w:p>
      <w:r>
        <w:t xml:space="preserve">(2) Der Stiftungszweck wird insbesondere verwirklicht durch</w:t>
      </w:r>
    </w:p>
    <w:p>
      <w:r>
        <w:t xml:space="preserve">1. die Förderung von Vorhaben im Bereich der Musik, der Literatur, des Films, der darstellenden und bildenden Kunst und ihrer Einrichtungen sowie der kulturellen Breitenarbeit freier Träger,</w:t>
      </w:r>
    </w:p>
    <w:p>
      <w:r>
        <w:t xml:space="preserve">2. die Förderung von Maßnahmen zur Pflege und Erhaltung von Kulturwerten und -einrichtungen,</w:t>
      </w:r>
    </w:p>
    <w:p>
      <w:r>
        <w:t xml:space="preserve">3. die Förderung von Künstlern und künstlerischem Nachwuchs,</w:t>
      </w:r>
    </w:p>
    <w:p>
      <w:r>
        <w:t xml:space="preserve">4. die Förderung kulturellen Austausches,</w:t>
      </w:r>
    </w:p>
    <w:p>
      <w:r>
        <w:t xml:space="preserve">5. die Beteiligung an der Koordinierung kultureller Einrichtungen im Freistaat Sachsen,</w:t>
      </w:r>
    </w:p>
    <w:p>
      <w:r>
        <w:t xml:space="preserve">6. die Beratung des Sächsischen Landtages und der Sächsischen Staatsregierung bei kulturellen Entscheidungen.</w:t>
      </w:r>
    </w:p>
    <w:p>
      <w:r>
        <w:t xml:space="preserve">(3) Über die Art der Förderung im Einzelnen und über die Vergabe ihrer Mittel entscheidet die Kulturstiftung.</w:t>
      </w:r>
    </w:p>
    <w:p>
      <w:r>
        <w:t xml:space="preserve">(4) Ein Rechtsanspruch auf Leistungen der Kulturstiftung besteht auch dann nicht, wenn diese über einen längeren Zeitraum gewährt wurden.</w:t>
      </w:r>
    </w:p>
    <w:p>
      <w:r>
        <w:rPr>
          <w:color w:val="555555"/>
          <w:sz w:val="17"/>
        </w:rPr>
        <w:t xml:space="preserve">Zitiervorschlag: § 3 SN-2937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https://recht.nulegal.eu/gesetze/SN-2937/3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