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SN-2937 (Sachsen) — Aufhebung, Vermögensanfall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Kulturstiftung kann nur durch Gesetz aufgehoben werden.</w:t>
      </w:r>
    </w:p>
    <w:p>
      <w:r>
        <w:t xml:space="preserve">(2) Im Falle der Aufhebung der Kulturstiftung fällt ihr Vermögen an den Freistaat Sachsen.</w:t>
      </w:r>
    </w:p>
    <w:p>
      <w:r>
        <w:rPr>
          <w:color w:val="555555"/>
          <w:sz w:val="17"/>
        </w:rPr>
        <w:t xml:space="preserve">Zitiervorschlag: § 14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