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SN-2930 (Sachsen)</w:t>
      </w:r>
    </w:p>
    <w:p>
      <w:r>
        <w:rPr>
          <w:color w:val="555555"/>
          <w:sz w:val="18"/>
        </w:rPr>
        <w:t xml:space="preserve">Verordnung der Sächsischen Staatsregierung zur Übertragung von Zuständigkeiten nach dem Bundeswahlgesetz und dem Europawahlgesetz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von:</w:t>
      </w:r>
    </w:p>
    <w:p>
      <w:r>
        <w:t xml:space="preserve">§ 8 Abs. 3 Halbsatz 2 sowie § 9 Abs. 1 und Abs. 2 Satz 3 Halbsatz 2 des Bundeswahlgesetzes in der Fassung der Bekanntmachung vom 23. Juli 1993 (BGBl. I S. 1288, 1594), das zuletzt durch Artikel 12 des Gesetzes vom 3. Dezember 2001 (BGBl. I S. 3306, 3308) geändert worden ist,</w:t>
      </w:r>
    </w:p>
    <w:p>
      <w:r>
        <w:t xml:space="preserve">§ 7 Nr. 2 der Bundeswahlordnung ( BWO ) in der Fassung der Bekanntmachung vom 8. März 1994 (BGBl. I S. 495), die zuletzt durch Verordnung vom 12. Februar 2002 (BGBl. I S. 620) geändert worden ist,</w:t>
      </w:r>
    </w:p>
    <w:p>
      <w:r>
        <w:t xml:space="preserve">§ 4 des Gesetzes über die Wahl der Abgeordneten des Europäischen Parlaments aus der Bundesrepublik Deutschland ( Europawahlgesetz – EuWG ) in der Fassung der Bekanntmachung vom 8. März 1994 (BGBl. I S. 423, 555), das zuletzt durch Artikel 3 des Gesetzes vom 21. Mai 1999 (BGBl. I S. 1023, 1024) geändert worden ist, in Verbindung mit § 9 Abs. 1 des Bundeswahlgesetzes sowie § 5 Abs. 2 Halbsatz 2 und Abs. 3 Satz 1 Halbsatz 2 EuWG ,</w:t>
      </w:r>
    </w:p>
    <w:p>
      <w:r>
        <w:t xml:space="preserve">§ 7 Nr. 2 Satz 2 der Europawahlordnung ( EuWO ) in der Fassung der Bekanntmachung vom 2. Mai 1994 (BGBl. I S. 957), die zuletzt durch Artikel 14 des Gesetzes vom 3. Dezember 2001 (BGBl. I S. 3306, 3308) geändert worden ist:</w:t>
      </w:r>
    </w:p>
    <w:p>
      <w:r>
        <w:rPr>
          <w:color w:val="555555"/>
          <w:sz w:val="17"/>
        </w:rPr>
        <w:t xml:space="preserve">Zitiervorschlag: Eingangsformel SN-2930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https://recht.nulegal.eu/gesetze/SN-2930/eingangsformel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